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844F" w14:textId="77777777" w:rsidR="00EE7260" w:rsidRDefault="00000000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Dotazník týkající se poměrů a majetkové situace dlužníka</w:t>
      </w:r>
    </w:p>
    <w:p w14:paraId="75948450" w14:textId="77777777" w:rsidR="00EE7260" w:rsidRDefault="00EE7260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</w:p>
    <w:p w14:paraId="75948451" w14:textId="77777777" w:rsidR="00EE7260" w:rsidRDefault="00000000">
      <w:pPr>
        <w:spacing w:line="276" w:lineRule="auto"/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t>Pokyny k vyplnění dotazníku:</w:t>
      </w:r>
    </w:p>
    <w:p w14:paraId="75948452" w14:textId="77777777" w:rsidR="00EE7260" w:rsidRDefault="00000000">
      <w:pPr>
        <w:spacing w:after="120" w:line="276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Prosíme o vyplnění tohoto dotazníku týkajícího se poměrů a majetkové situace dlužníka, a to dle následujících pokynů. Odpovědi na otázky uvádějte </w:t>
      </w:r>
      <w:r>
        <w:rPr>
          <w:b/>
          <w:i/>
          <w:color w:val="000000" w:themeColor="text1"/>
          <w:sz w:val="20"/>
          <w:szCs w:val="20"/>
          <w:u w:val="single"/>
        </w:rPr>
        <w:t>čitelně</w:t>
      </w:r>
      <w:r>
        <w:rPr>
          <w:b/>
          <w:i/>
          <w:color w:val="000000" w:themeColor="text1"/>
          <w:sz w:val="20"/>
          <w:szCs w:val="20"/>
        </w:rPr>
        <w:t xml:space="preserve"> hůlkovým písmem nebo elektronicky </w:t>
      </w:r>
      <w:r>
        <w:rPr>
          <w:i/>
          <w:color w:val="000000" w:themeColor="text1"/>
          <w:sz w:val="20"/>
          <w:szCs w:val="20"/>
        </w:rPr>
        <w:t xml:space="preserve">na samostatný list/listy papíru. DOTAZNÍK JE NUTNÉ NA KONCI </w:t>
      </w:r>
      <w:r>
        <w:rPr>
          <w:b/>
          <w:i/>
          <w:color w:val="000000" w:themeColor="text1"/>
          <w:sz w:val="20"/>
          <w:szCs w:val="20"/>
        </w:rPr>
        <w:t>PODEPSAT!</w:t>
      </w:r>
      <w:r>
        <w:rPr>
          <w:i/>
          <w:color w:val="000000" w:themeColor="text1"/>
          <w:sz w:val="20"/>
          <w:szCs w:val="20"/>
        </w:rPr>
        <w:t xml:space="preserve"> Při odpovědích </w:t>
      </w:r>
      <w:r>
        <w:rPr>
          <w:b/>
          <w:i/>
          <w:color w:val="000000" w:themeColor="text1"/>
          <w:sz w:val="20"/>
          <w:szCs w:val="20"/>
        </w:rPr>
        <w:t>zachovávejte pořadí otázek</w:t>
      </w:r>
      <w:r>
        <w:rPr>
          <w:i/>
          <w:color w:val="000000" w:themeColor="text1"/>
          <w:sz w:val="20"/>
          <w:szCs w:val="20"/>
        </w:rPr>
        <w:t xml:space="preserve"> a současně </w:t>
      </w:r>
      <w:r>
        <w:rPr>
          <w:b/>
          <w:i/>
          <w:color w:val="000000" w:themeColor="text1"/>
          <w:sz w:val="20"/>
          <w:szCs w:val="20"/>
        </w:rPr>
        <w:t>jednotlivé odpovědi číslujte</w:t>
      </w:r>
      <w:r>
        <w:rPr>
          <w:i/>
          <w:color w:val="000000" w:themeColor="text1"/>
          <w:sz w:val="20"/>
          <w:szCs w:val="20"/>
        </w:rPr>
        <w:t xml:space="preserve"> dle číselného označení otázek. Odpovědi musí být úplné a pravdivé. Sdělení nesprávných informací či jejich zamlčení (především informací týkajících se majetku dlužníka) by mohlo mít občanskoprávní, a dokonce i trestněprávní důsledky. Pokud se bude nějaká otázka týkat majetku, který má dlužník v </w:t>
      </w:r>
      <w:r>
        <w:rPr>
          <w:b/>
          <w:i/>
          <w:color w:val="000000" w:themeColor="text1"/>
          <w:sz w:val="20"/>
          <w:szCs w:val="20"/>
        </w:rPr>
        <w:t>podílovém spoluvlastnictví</w:t>
      </w:r>
      <w:r>
        <w:rPr>
          <w:i/>
          <w:color w:val="000000" w:themeColor="text1"/>
          <w:sz w:val="20"/>
          <w:szCs w:val="20"/>
        </w:rPr>
        <w:t>, výslovně tuto skutečnost u takového majetku uvádějte, a to včetně výše spoluvlastnického podílu. Pokud budete v dotazníku uvádět nějakou smlouvu, specifikujte ji minimálně v rozsahu a) označení smlouvy, b) datum uzavření smlouvy, c) smluvní strany. Pokud budete specifikovat nějaké rozhodnutí (soudu, správních orgánů), uvádějte vždy označení orgánu, který jej vydal, datum vydání a číslo jednací (popř. spisovou značku). V případě dotazů kontaktujte insolvenčního správce.</w:t>
      </w:r>
    </w:p>
    <w:p w14:paraId="75948453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Osobní údaje dlužníka a datum vyplnění </w:t>
      </w:r>
      <w:proofErr w:type="gramStart"/>
      <w:r>
        <w:rPr>
          <w:b/>
          <w:color w:val="000000" w:themeColor="text1"/>
          <w:sz w:val="20"/>
          <w:szCs w:val="20"/>
        </w:rPr>
        <w:t>dotazníku</w:t>
      </w:r>
      <w:r>
        <w:rPr>
          <w:color w:val="000000" w:themeColor="text1"/>
          <w:sz w:val="20"/>
          <w:szCs w:val="20"/>
        </w:rPr>
        <w:t xml:space="preserve"> - uveďte</w:t>
      </w:r>
      <w:proofErr w:type="gramEnd"/>
      <w:r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a) </w:t>
      </w:r>
      <w:r>
        <w:rPr>
          <w:color w:val="000000" w:themeColor="text1"/>
          <w:sz w:val="20"/>
          <w:szCs w:val="20"/>
        </w:rPr>
        <w:t xml:space="preserve">název (firmu), </w:t>
      </w:r>
      <w:r>
        <w:rPr>
          <w:b/>
          <w:color w:val="000000" w:themeColor="text1"/>
          <w:sz w:val="20"/>
          <w:szCs w:val="20"/>
        </w:rPr>
        <w:t>b)</w:t>
      </w:r>
      <w:r>
        <w:rPr>
          <w:color w:val="000000" w:themeColor="text1"/>
          <w:sz w:val="20"/>
          <w:szCs w:val="20"/>
        </w:rPr>
        <w:t xml:space="preserve"> IČO, </w:t>
      </w:r>
      <w:r>
        <w:rPr>
          <w:b/>
          <w:color w:val="000000" w:themeColor="text1"/>
          <w:sz w:val="20"/>
          <w:szCs w:val="20"/>
        </w:rPr>
        <w:t>c)</w:t>
      </w:r>
      <w:r>
        <w:rPr>
          <w:color w:val="000000" w:themeColor="text1"/>
          <w:sz w:val="20"/>
          <w:szCs w:val="20"/>
        </w:rPr>
        <w:t xml:space="preserve"> telefonní číslo a </w:t>
      </w:r>
      <w:r>
        <w:rPr>
          <w:b/>
          <w:color w:val="000000" w:themeColor="text1"/>
          <w:sz w:val="20"/>
          <w:szCs w:val="20"/>
        </w:rPr>
        <w:t>d)</w:t>
      </w:r>
      <w:r>
        <w:rPr>
          <w:color w:val="000000" w:themeColor="text1"/>
          <w:sz w:val="20"/>
          <w:szCs w:val="20"/>
        </w:rPr>
        <w:t xml:space="preserve"> e-mailovou adresu, </w:t>
      </w:r>
      <w:r>
        <w:rPr>
          <w:b/>
          <w:color w:val="000000" w:themeColor="text1"/>
          <w:sz w:val="20"/>
          <w:szCs w:val="20"/>
        </w:rPr>
        <w:t xml:space="preserve">e) </w:t>
      </w:r>
      <w:r>
        <w:rPr>
          <w:color w:val="000000" w:themeColor="text1"/>
          <w:sz w:val="20"/>
          <w:szCs w:val="20"/>
        </w:rPr>
        <w:t>adresu pro doručování písemností</w:t>
      </w:r>
      <w:r>
        <w:rPr>
          <w:b/>
          <w:color w:val="000000" w:themeColor="text1"/>
          <w:sz w:val="20"/>
          <w:szCs w:val="20"/>
        </w:rPr>
        <w:t xml:space="preserve"> f) </w:t>
      </w:r>
      <w:r>
        <w:rPr>
          <w:color w:val="000000" w:themeColor="text1"/>
          <w:sz w:val="20"/>
          <w:szCs w:val="20"/>
        </w:rPr>
        <w:t xml:space="preserve">datum vyplnění dotazníku, </w:t>
      </w:r>
      <w:r>
        <w:rPr>
          <w:b/>
          <w:color w:val="000000" w:themeColor="text1"/>
          <w:sz w:val="20"/>
          <w:szCs w:val="20"/>
        </w:rPr>
        <w:t>g)</w:t>
      </w:r>
      <w:r>
        <w:rPr>
          <w:color w:val="000000" w:themeColor="text1"/>
          <w:sz w:val="20"/>
          <w:szCs w:val="20"/>
        </w:rPr>
        <w:t xml:space="preserve"> údaje o osobě, která za dlužníka dotazník vyplnila; </w:t>
      </w:r>
    </w:p>
    <w:p w14:paraId="75948454" w14:textId="77777777" w:rsidR="00EE7260" w:rsidRDefault="00000000">
      <w:pPr>
        <w:pStyle w:val="ListParagraph"/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Úpadek </w:t>
      </w:r>
      <w:r>
        <w:rPr>
          <w:color w:val="000000" w:themeColor="text1"/>
          <w:sz w:val="20"/>
          <w:szCs w:val="20"/>
        </w:rPr>
        <w:noBreakHyphen/>
        <w:t xml:space="preserve"> uveďte důvody, na </w:t>
      </w:r>
      <w:proofErr w:type="gramStart"/>
      <w:r>
        <w:rPr>
          <w:color w:val="000000" w:themeColor="text1"/>
          <w:sz w:val="20"/>
          <w:szCs w:val="20"/>
        </w:rPr>
        <w:t>základě</w:t>
      </w:r>
      <w:proofErr w:type="gramEnd"/>
      <w:r>
        <w:rPr>
          <w:color w:val="000000" w:themeColor="text1"/>
          <w:sz w:val="20"/>
          <w:szCs w:val="20"/>
        </w:rPr>
        <w:t xml:space="preserve"> kterých se dlužník dostal do finančních problémů (úpadek);</w:t>
      </w:r>
    </w:p>
    <w:p w14:paraId="75948455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 xml:space="preserve">Zaměstnání - </w:t>
      </w:r>
      <w:r>
        <w:rPr>
          <w:color w:val="000000" w:themeColor="text1"/>
          <w:sz w:val="20"/>
          <w:szCs w:val="20"/>
        </w:rPr>
        <w:t>uveďte</w:t>
      </w:r>
      <w:proofErr w:type="gramEnd"/>
      <w:r>
        <w:rPr>
          <w:color w:val="000000" w:themeColor="text1"/>
          <w:sz w:val="20"/>
          <w:szCs w:val="20"/>
        </w:rPr>
        <w:t xml:space="preserve">, zda má dlužník své zaměstnance; pokud ano, uveďte jejich identifikaci a sdělte, zda mají zaměstnanci vůči dlužníkovi pracovněprávní pohledávky (především neuhrazené mzdy); </w:t>
      </w:r>
    </w:p>
    <w:p w14:paraId="75948456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Podnikatelská činnost dlužníka</w:t>
      </w:r>
    </w:p>
    <w:p w14:paraId="75948457" w14:textId="77777777" w:rsidR="00EE7260" w:rsidRDefault="0000000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- sdělte, zda dlužník vykonává podnikatelskou činnost, případně jakou;</w:t>
      </w:r>
    </w:p>
    <w:p w14:paraId="75948458" w14:textId="77777777" w:rsidR="00EE7260" w:rsidRDefault="0000000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- pokud vykonává dlužník podnikatelskou činnost, dále sdělte:</w:t>
      </w:r>
    </w:p>
    <w:p w14:paraId="75948459" w14:textId="77777777" w:rsidR="00EE7260" w:rsidRDefault="0000000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a)</w:t>
      </w:r>
      <w:r>
        <w:rPr>
          <w:color w:val="000000" w:themeColor="text1"/>
          <w:sz w:val="20"/>
          <w:szCs w:val="20"/>
        </w:rPr>
        <w:t xml:space="preserve"> zda i nadále probíhá provoz dlužníkova závodu/podniku (pokud ne, sdělte, kdy byl ukončen), </w:t>
      </w:r>
    </w:p>
    <w:p w14:paraId="7594845A" w14:textId="77777777" w:rsidR="00EE7260" w:rsidRDefault="0000000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b)</w:t>
      </w:r>
      <w:r>
        <w:rPr>
          <w:color w:val="000000" w:themeColor="text1"/>
          <w:sz w:val="20"/>
          <w:szCs w:val="20"/>
        </w:rPr>
        <w:t xml:space="preserve"> zda je třeba dokončit nějaké zakázky,</w:t>
      </w:r>
    </w:p>
    <w:p w14:paraId="7594845B" w14:textId="77777777" w:rsidR="00EE7260" w:rsidRDefault="0000000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c)</w:t>
      </w:r>
      <w:r>
        <w:rPr>
          <w:color w:val="000000" w:themeColor="text1"/>
          <w:sz w:val="20"/>
          <w:szCs w:val="20"/>
        </w:rPr>
        <w:t xml:space="preserve"> na jakých všech místech, resp. prostorách probíhá/probíhal provoz dlužníkova závodu/podniku (případně v jakém období) a zda se jedná o prostory dlužníka (pokud se nejedná o prostory dlužníka, sdělte, z jakého titulu byly prostory používány </w:t>
      </w:r>
      <w:r>
        <w:rPr>
          <w:color w:val="000000" w:themeColor="text1"/>
          <w:sz w:val="20"/>
          <w:szCs w:val="20"/>
        </w:rPr>
        <w:noBreakHyphen/>
        <w:t xml:space="preserve"> např. nájemní smlouva).</w:t>
      </w:r>
    </w:p>
    <w:p w14:paraId="7594845C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Účetnictví a daňové povinnosti </w:t>
      </w:r>
      <w:r>
        <w:rPr>
          <w:color w:val="000000" w:themeColor="text1"/>
          <w:sz w:val="20"/>
          <w:szCs w:val="20"/>
        </w:rPr>
        <w:noBreakHyphen/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sdělte, zda dlužník vede účetnictví, a současně uveďte seznam daní, ke kterým je dlužník registrován</w:t>
      </w:r>
      <w:r>
        <w:rPr>
          <w:b/>
          <w:color w:val="000000" w:themeColor="text1"/>
          <w:sz w:val="20"/>
          <w:szCs w:val="20"/>
        </w:rPr>
        <w:t>.</w:t>
      </w:r>
    </w:p>
    <w:p w14:paraId="7594845D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Smlouvy týkající se </w:t>
      </w:r>
      <w:r>
        <w:rPr>
          <w:b/>
          <w:color w:val="000000" w:themeColor="text1"/>
          <w:sz w:val="20"/>
          <w:szCs w:val="20"/>
        </w:rPr>
        <w:t xml:space="preserve">pojištění </w:t>
      </w:r>
      <w:proofErr w:type="gramStart"/>
      <w:r>
        <w:rPr>
          <w:b/>
          <w:color w:val="000000" w:themeColor="text1"/>
          <w:sz w:val="20"/>
          <w:szCs w:val="20"/>
        </w:rPr>
        <w:t xml:space="preserve">majetku </w:t>
      </w:r>
      <w:r>
        <w:rPr>
          <w:color w:val="000000" w:themeColor="text1"/>
          <w:sz w:val="20"/>
          <w:szCs w:val="20"/>
        </w:rPr>
        <w:t>- uveďte</w:t>
      </w:r>
      <w:proofErr w:type="gramEnd"/>
      <w:r>
        <w:rPr>
          <w:color w:val="000000" w:themeColor="text1"/>
          <w:sz w:val="20"/>
          <w:szCs w:val="20"/>
        </w:rPr>
        <w:t xml:space="preserve"> veškeré smlouvy, na základě kterých byl pojištěn majetek dlužníka, a to včetně specifikace pojištěného majetku;</w:t>
      </w:r>
    </w:p>
    <w:p w14:paraId="7594845E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Nemovité věci </w:t>
      </w:r>
      <w:r>
        <w:rPr>
          <w:color w:val="000000" w:themeColor="text1"/>
          <w:sz w:val="20"/>
          <w:szCs w:val="20"/>
        </w:rPr>
        <w:t>(především</w:t>
      </w:r>
      <w:r>
        <w:rPr>
          <w:b/>
          <w:color w:val="000000" w:themeColor="text1"/>
          <w:sz w:val="20"/>
          <w:szCs w:val="20"/>
        </w:rPr>
        <w:t xml:space="preserve"> pozemky, budovy, bytové a nebytové jednotky</w:t>
      </w:r>
      <w:r>
        <w:rPr>
          <w:color w:val="000000" w:themeColor="text1"/>
          <w:sz w:val="20"/>
          <w:szCs w:val="20"/>
        </w:rPr>
        <w:t xml:space="preserve">) - uveďte specifikaci nemovitých věci s označením katastrálního území a parcelního čísla; v případě budov dále včetně čísla popisného/evidenčního/orientačního a v případě bytových a nebytových jednotek včetně označení jednotky; současně přiložte příslušný aktuální výpis z katastru nemovitostí; </w:t>
      </w:r>
    </w:p>
    <w:p w14:paraId="7594845F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 xml:space="preserve">Vozidla </w:t>
      </w:r>
      <w:r>
        <w:rPr>
          <w:color w:val="000000" w:themeColor="text1"/>
          <w:sz w:val="20"/>
          <w:szCs w:val="20"/>
        </w:rPr>
        <w:t>- uveďte</w:t>
      </w:r>
      <w:proofErr w:type="gramEnd"/>
      <w:r>
        <w:rPr>
          <w:color w:val="000000" w:themeColor="text1"/>
          <w:sz w:val="20"/>
          <w:szCs w:val="20"/>
        </w:rPr>
        <w:t xml:space="preserve"> specifikaci vozidel ve vlastnictví dlužníka, a to alespoň v rozsahu tovární značka, registrační značka, VIN, rok výroby, místo, kde se aktuálně nachází, pořizovací cena a rok pořízení, počet ujetých kilometrů, výbava vozidla;</w:t>
      </w:r>
    </w:p>
    <w:p w14:paraId="75948460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Ostatní movité věci</w:t>
      </w:r>
      <w:r>
        <w:rPr>
          <w:color w:val="000000" w:themeColor="text1"/>
          <w:sz w:val="20"/>
          <w:szCs w:val="20"/>
        </w:rPr>
        <w:t xml:space="preserve"> (například výpočetní technika, mobilní telefony, elektronika, domácí spotřebiče aj.)</w:t>
      </w:r>
    </w:p>
    <w:p w14:paraId="75948461" w14:textId="77777777" w:rsidR="00EE7260" w:rsidRDefault="0000000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- uveďte seznam ostatních movitých věcí dlužníka včetně jejich specifikace a dále jejich pořizovací cenu a rok pořízení;</w:t>
      </w:r>
    </w:p>
    <w:p w14:paraId="75948462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lastRenderedPageBreak/>
        <w:t>Pohledávky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noBreakHyphen/>
        <w:t xml:space="preserve"> uveďte seznam </w:t>
      </w:r>
      <w:r>
        <w:rPr>
          <w:b/>
          <w:color w:val="000000" w:themeColor="text1"/>
          <w:sz w:val="20"/>
          <w:szCs w:val="20"/>
        </w:rPr>
        <w:t xml:space="preserve">pohledávek (nikoli dluhů) </w:t>
      </w:r>
      <w:r>
        <w:rPr>
          <w:color w:val="000000" w:themeColor="text1"/>
          <w:sz w:val="20"/>
          <w:szCs w:val="20"/>
        </w:rPr>
        <w:t xml:space="preserve">dlužníka vůči třetím osobám, který bude obsahovat a) specifikaci osoby, vůči které má dlužník pohledávku, b) výši pohledávky, c) splatnost a dobytnost pohledávky a d) právní titul, na </w:t>
      </w:r>
      <w:proofErr w:type="gramStart"/>
      <w:r>
        <w:rPr>
          <w:color w:val="000000" w:themeColor="text1"/>
          <w:sz w:val="20"/>
          <w:szCs w:val="20"/>
        </w:rPr>
        <w:t>základě</w:t>
      </w:r>
      <w:proofErr w:type="gramEnd"/>
      <w:r>
        <w:rPr>
          <w:color w:val="000000" w:themeColor="text1"/>
          <w:sz w:val="20"/>
          <w:szCs w:val="20"/>
        </w:rPr>
        <w:t xml:space="preserve"> kterého pohledávka vznikla (tj. především smlouva). Současně nám sdělte kontaktní spojení na obchodního partnera. Pokud o pohledávce probíhá soudní řízení, je nutno uvést název příslušného soudu, spisovou značku a stav řízení. </w:t>
      </w:r>
    </w:p>
    <w:p w14:paraId="75948463" w14:textId="77777777" w:rsidR="00EE7260" w:rsidRDefault="00000000">
      <w:pPr>
        <w:pStyle w:val="ListParagraph"/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Zahraniční věřitele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noBreakHyphen/>
        <w:t xml:space="preserve"> uveďte seznam všech zahraničních věřitelů Dlužníka (tj. osob, kterým Dlužník </w:t>
      </w:r>
      <w:proofErr w:type="gramStart"/>
      <w:r>
        <w:rPr>
          <w:color w:val="000000" w:themeColor="text1"/>
          <w:sz w:val="20"/>
          <w:szCs w:val="20"/>
        </w:rPr>
        <w:t>dluží</w:t>
      </w:r>
      <w:proofErr w:type="gramEnd"/>
      <w:r>
        <w:rPr>
          <w:color w:val="000000" w:themeColor="text1"/>
          <w:sz w:val="20"/>
          <w:szCs w:val="20"/>
        </w:rPr>
        <w:t>)</w:t>
      </w:r>
      <w:r>
        <w:rPr>
          <w:rFonts w:ascii="Symbol" w:eastAsia="Symbol" w:hAnsi="Symbol" w:cs="Symbol"/>
          <w:color w:val="000000" w:themeColor="text1"/>
          <w:sz w:val="20"/>
          <w:szCs w:val="20"/>
        </w:rPr>
        <w:t>;</w:t>
      </w:r>
      <w:r>
        <w:rPr>
          <w:color w:val="000000" w:themeColor="text1"/>
          <w:sz w:val="20"/>
          <w:szCs w:val="20"/>
        </w:rPr>
        <w:t xml:space="preserve"> </w:t>
      </w:r>
    </w:p>
    <w:p w14:paraId="75948464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Věcná břemena (služebnosti a reálná břemena), práva stavby, zástavní práva, zadržovací práva, předkupní práva, výhrady zpětné koupě, výhrady zpětného prodeje, výhrady lepšího kupce, výhrady vlastnictví, zákaz </w:t>
      </w:r>
      <w:proofErr w:type="gramStart"/>
      <w:r>
        <w:rPr>
          <w:b/>
          <w:color w:val="000000" w:themeColor="text1"/>
          <w:sz w:val="20"/>
          <w:szCs w:val="20"/>
        </w:rPr>
        <w:t xml:space="preserve">zcizení - </w:t>
      </w:r>
      <w:r>
        <w:rPr>
          <w:color w:val="000000" w:themeColor="text1"/>
          <w:sz w:val="20"/>
          <w:szCs w:val="20"/>
        </w:rPr>
        <w:t>uveďte</w:t>
      </w:r>
      <w:proofErr w:type="gramEnd"/>
      <w:r>
        <w:rPr>
          <w:color w:val="000000" w:themeColor="text1"/>
          <w:sz w:val="20"/>
          <w:szCs w:val="20"/>
        </w:rPr>
        <w:t xml:space="preserve">, zda je dlužník oprávněným nebo povinným z některých z těchto práv, </w:t>
      </w:r>
      <w:r>
        <w:rPr>
          <w:color w:val="000000" w:themeColor="text1"/>
          <w:sz w:val="21"/>
          <w:szCs w:val="21"/>
        </w:rPr>
        <w:t>resp. zda se některá z těchto práv vztahují k jeho majetku</w:t>
      </w:r>
    </w:p>
    <w:p w14:paraId="75948465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Uveďte aktuální výši </w:t>
      </w:r>
      <w:r>
        <w:rPr>
          <w:b/>
          <w:color w:val="000000" w:themeColor="text1"/>
          <w:sz w:val="20"/>
          <w:szCs w:val="20"/>
        </w:rPr>
        <w:t xml:space="preserve">peněžních prostředků </w:t>
      </w:r>
      <w:r>
        <w:rPr>
          <w:color w:val="000000" w:themeColor="text1"/>
          <w:sz w:val="20"/>
          <w:szCs w:val="20"/>
        </w:rPr>
        <w:t xml:space="preserve">dlužníka </w:t>
      </w:r>
      <w:r>
        <w:rPr>
          <w:b/>
          <w:color w:val="000000" w:themeColor="text1"/>
          <w:sz w:val="20"/>
          <w:szCs w:val="20"/>
        </w:rPr>
        <w:t>v hotovosti;</w:t>
      </w:r>
    </w:p>
    <w:p w14:paraId="75948466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Bankovní účty, účty u družstevních záložen a jiných finančních institucí </w:t>
      </w:r>
    </w:p>
    <w:p w14:paraId="75948467" w14:textId="77777777" w:rsidR="00EE7260" w:rsidRDefault="0000000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- </w:t>
      </w:r>
      <w:r>
        <w:rPr>
          <w:color w:val="000000" w:themeColor="text1"/>
          <w:sz w:val="20"/>
          <w:szCs w:val="20"/>
        </w:rPr>
        <w:t>uveďte specifikaci veškerých účtů dlužníka (podnikatelské, spořící, vkladové aj.), a to označením instituce (banky), čísla účtu a sdělením aktuálního zůstatku (uvádějte účty nejen aktuální, ale i ty, které byly zrušeny v posledních třech letech);</w:t>
      </w:r>
    </w:p>
    <w:p w14:paraId="75948468" w14:textId="77777777" w:rsidR="00EE7260" w:rsidRDefault="0000000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uvádějte i účty, které jsou případně v zahraničí;</w:t>
      </w:r>
    </w:p>
    <w:p w14:paraId="75948469" w14:textId="77777777" w:rsidR="00EE7260" w:rsidRDefault="00000000">
      <w:pPr>
        <w:pStyle w:val="ListParagraph"/>
        <w:numPr>
          <w:ilvl w:val="0"/>
          <w:numId w:val="0"/>
        </w:numPr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3"/>
          <w:szCs w:val="23"/>
        </w:rPr>
        <w:t>-</w:t>
      </w:r>
      <w:r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0"/>
          <w:szCs w:val="20"/>
        </w:rPr>
        <w:t xml:space="preserve">současně žádáme o </w:t>
      </w:r>
      <w:r>
        <w:rPr>
          <w:b/>
          <w:color w:val="000000" w:themeColor="text1"/>
          <w:sz w:val="20"/>
          <w:szCs w:val="20"/>
        </w:rPr>
        <w:t>předložení výpisů z těchto účtů</w:t>
      </w:r>
      <w:r>
        <w:rPr>
          <w:color w:val="000000" w:themeColor="text1"/>
          <w:sz w:val="20"/>
          <w:szCs w:val="20"/>
        </w:rPr>
        <w:t xml:space="preserve"> za posledních 5 let.</w:t>
      </w:r>
    </w:p>
    <w:p w14:paraId="7594846A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Uveďte, zda dlužník vlastní </w:t>
      </w:r>
      <w:r>
        <w:rPr>
          <w:b/>
          <w:color w:val="000000" w:themeColor="text1"/>
          <w:sz w:val="20"/>
          <w:szCs w:val="20"/>
        </w:rPr>
        <w:t>vkladní knížky,</w:t>
      </w:r>
      <w:r>
        <w:rPr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obchodní podíly, akcie, podílové listy, směnky či jakékoliv jiné cenné papíry;</w:t>
      </w:r>
      <w:r>
        <w:rPr>
          <w:color w:val="000000" w:themeColor="text1"/>
          <w:sz w:val="20"/>
          <w:szCs w:val="20"/>
        </w:rPr>
        <w:t xml:space="preserve"> pokud ano, blíže je specifikujte;</w:t>
      </w:r>
    </w:p>
    <w:p w14:paraId="7594846B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Uveďte, zda je dlužník vlastníkem </w:t>
      </w:r>
      <w:r>
        <w:rPr>
          <w:b/>
          <w:color w:val="000000" w:themeColor="text1"/>
          <w:sz w:val="20"/>
          <w:szCs w:val="20"/>
        </w:rPr>
        <w:t>ochranné známky, vynálezu/patentu, průmyslového vzoru, užitného vzoru, doménového jména</w:t>
      </w:r>
      <w:r>
        <w:rPr>
          <w:color w:val="000000" w:themeColor="text1"/>
          <w:sz w:val="20"/>
          <w:szCs w:val="20"/>
        </w:rPr>
        <w:t>; pokud ano, blíže je specifikujte;</w:t>
      </w:r>
    </w:p>
    <w:p w14:paraId="7594846C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Ostatní </w:t>
      </w:r>
      <w:proofErr w:type="gramStart"/>
      <w:r>
        <w:rPr>
          <w:b/>
          <w:color w:val="000000" w:themeColor="text1"/>
          <w:sz w:val="20"/>
          <w:szCs w:val="20"/>
        </w:rPr>
        <w:t>majetek</w:t>
      </w:r>
      <w:r>
        <w:rPr>
          <w:color w:val="000000" w:themeColor="text1"/>
          <w:sz w:val="20"/>
          <w:szCs w:val="20"/>
        </w:rPr>
        <w:t xml:space="preserve"> - uveďte</w:t>
      </w:r>
      <w:proofErr w:type="gramEnd"/>
      <w:r>
        <w:rPr>
          <w:color w:val="000000" w:themeColor="text1"/>
          <w:sz w:val="20"/>
          <w:szCs w:val="20"/>
        </w:rPr>
        <w:t xml:space="preserve"> jakýkoliv jiný majetek či případně příjem dlužníka, který nebyl uveden výše, </w:t>
      </w:r>
      <w:r>
        <w:rPr>
          <w:color w:val="000000" w:themeColor="text1"/>
          <w:sz w:val="20"/>
          <w:szCs w:val="20"/>
        </w:rPr>
        <w:br/>
        <w:t>a blíže jej specifikujte;</w:t>
      </w:r>
    </w:p>
    <w:p w14:paraId="7594846D" w14:textId="77777777" w:rsidR="00EE7260" w:rsidRDefault="00000000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Uveďte veškerý </w:t>
      </w:r>
      <w:r>
        <w:rPr>
          <w:b/>
          <w:color w:val="000000" w:themeColor="text1"/>
          <w:sz w:val="20"/>
          <w:szCs w:val="20"/>
        </w:rPr>
        <w:t>majetek dlužníka, který byl v posledních pěti letech</w:t>
      </w:r>
      <w:r>
        <w:rPr>
          <w:color w:val="000000" w:themeColor="text1"/>
          <w:sz w:val="20"/>
          <w:szCs w:val="20"/>
        </w:rPr>
        <w:t xml:space="preserve"> (počítáno zpětně od zahájení insolvenčního řízení)</w:t>
      </w:r>
      <w:r>
        <w:rPr>
          <w:b/>
          <w:color w:val="000000" w:themeColor="text1"/>
          <w:sz w:val="20"/>
          <w:szCs w:val="20"/>
        </w:rPr>
        <w:t xml:space="preserve"> převeden (tj. prodán, darován)</w:t>
      </w:r>
      <w:r>
        <w:rPr>
          <w:color w:val="000000" w:themeColor="text1"/>
          <w:sz w:val="20"/>
          <w:szCs w:val="20"/>
        </w:rPr>
        <w:t xml:space="preserve"> na jinou osobu a jehož skutečná hodnota přesahovala částku 10.000,- Kč (zejména nemovitosti, vozidla); u každého takového převodu uveďte označení věci, datum převodu, osobu nového vlastníka (výslovně uveďte, zda se jednalo o osobu blízkou či majetkově propojenou), výši úplaty (tj. částku, za kterou byla věc převedena). </w:t>
      </w:r>
    </w:p>
    <w:p w14:paraId="7594846E" w14:textId="77777777" w:rsidR="00EE7260" w:rsidRDefault="00000000">
      <w:pPr>
        <w:pStyle w:val="ListParagraph"/>
        <w:numPr>
          <w:ilvl w:val="0"/>
          <w:numId w:val="6"/>
        </w:numPr>
        <w:jc w:val="both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Soudní </w:t>
      </w:r>
      <w:proofErr w:type="gramStart"/>
      <w:r>
        <w:rPr>
          <w:b/>
          <w:color w:val="000000" w:themeColor="text1"/>
          <w:sz w:val="20"/>
          <w:szCs w:val="20"/>
        </w:rPr>
        <w:t xml:space="preserve">spory </w:t>
      </w:r>
      <w:r>
        <w:rPr>
          <w:color w:val="000000" w:themeColor="text1"/>
          <w:sz w:val="20"/>
          <w:szCs w:val="20"/>
        </w:rPr>
        <w:t>- uveďte</w:t>
      </w:r>
      <w:proofErr w:type="gramEnd"/>
      <w:r>
        <w:rPr>
          <w:color w:val="000000" w:themeColor="text1"/>
          <w:sz w:val="20"/>
          <w:szCs w:val="20"/>
        </w:rPr>
        <w:t xml:space="preserve"> seznam aktuálně vedených soudních sporů.</w:t>
      </w:r>
    </w:p>
    <w:p w14:paraId="7594846F" w14:textId="77777777" w:rsidR="00EE7260" w:rsidRDefault="00000000">
      <w:pPr>
        <w:pStyle w:val="ListParagraph"/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proofErr w:type="gramStart"/>
      <w:r>
        <w:rPr>
          <w:b/>
          <w:color w:val="000000" w:themeColor="text1"/>
          <w:sz w:val="20"/>
          <w:szCs w:val="20"/>
        </w:rPr>
        <w:t>Smlouvy</w:t>
      </w:r>
      <w:r>
        <w:rPr>
          <w:color w:val="000000" w:themeColor="text1"/>
          <w:sz w:val="20"/>
          <w:szCs w:val="20"/>
        </w:rPr>
        <w:t xml:space="preserve"> - uveďte</w:t>
      </w:r>
      <w:proofErr w:type="gramEnd"/>
      <w:r>
        <w:rPr>
          <w:color w:val="000000" w:themeColor="text1"/>
          <w:sz w:val="20"/>
          <w:szCs w:val="20"/>
        </w:rPr>
        <w:t xml:space="preserve"> seznam smluv platných a účinných ke dni prohlášení konkurzu s výjimkou smluv již uvedených výše (především uveďte nájemní a leasingové smlouvy, smlouvy na dodávku medií/energií apod.)</w:t>
      </w:r>
    </w:p>
    <w:p w14:paraId="75948470" w14:textId="77777777" w:rsidR="00EE7260" w:rsidRDefault="00000000">
      <w:pPr>
        <w:pStyle w:val="ListParagraph"/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Propojené </w:t>
      </w:r>
      <w:proofErr w:type="gramStart"/>
      <w:r>
        <w:rPr>
          <w:b/>
          <w:color w:val="000000" w:themeColor="text1"/>
          <w:sz w:val="20"/>
          <w:szCs w:val="20"/>
        </w:rPr>
        <w:t xml:space="preserve">subjekty </w:t>
      </w:r>
      <w:r>
        <w:rPr>
          <w:color w:val="000000" w:themeColor="text1"/>
          <w:sz w:val="20"/>
          <w:szCs w:val="20"/>
        </w:rPr>
        <w:t>- uveďte</w:t>
      </w:r>
      <w:proofErr w:type="gramEnd"/>
      <w:r>
        <w:rPr>
          <w:color w:val="000000" w:themeColor="text1"/>
          <w:sz w:val="20"/>
          <w:szCs w:val="20"/>
        </w:rPr>
        <w:t xml:space="preserve"> přehled o propojených subjektech a smluv uzavřených mezi nimi. Mezi propojené subjekty se řadí i osoby blízké.</w:t>
      </w:r>
    </w:p>
    <w:p w14:paraId="75948471" w14:textId="77777777" w:rsidR="00EE7260" w:rsidRDefault="00000000">
      <w:pPr>
        <w:pStyle w:val="ListParagraph"/>
        <w:numPr>
          <w:ilvl w:val="0"/>
          <w:numId w:val="6"/>
        </w:numPr>
        <w:jc w:val="both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Neodkladné úkony</w:t>
      </w:r>
    </w:p>
    <w:p w14:paraId="75948472" w14:textId="77777777" w:rsidR="00EE7260" w:rsidRDefault="00000000">
      <w:pPr>
        <w:pStyle w:val="ListParagraph"/>
        <w:numPr>
          <w:ilvl w:val="0"/>
          <w:numId w:val="0"/>
        </w:numPr>
        <w:spacing w:line="276" w:lineRule="auto"/>
        <w:ind w:left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sdělte veškeré neodkladné úkony, které je nutné učinit, aby nedošlo především ke snížení rozsahu (zničení) majetku dlužníka, popř. porušení jakýchkoliv práv jiných subjektů (např. hrozící škody či existence jiných rizik).</w:t>
      </w:r>
    </w:p>
    <w:p w14:paraId="587C83A6" w14:textId="715B7347" w:rsidR="00735DF1" w:rsidRDefault="009F7D7A" w:rsidP="00084106">
      <w:pPr>
        <w:pStyle w:val="ListParagraph"/>
        <w:numPr>
          <w:ilvl w:val="0"/>
          <w:numId w:val="6"/>
        </w:numPr>
        <w:jc w:val="both"/>
        <w:rPr>
          <w:b/>
          <w:bCs/>
          <w:color w:val="000000" w:themeColor="text1"/>
          <w:sz w:val="20"/>
          <w:szCs w:val="20"/>
        </w:rPr>
      </w:pPr>
      <w:r w:rsidRPr="009F7D7A">
        <w:rPr>
          <w:b/>
          <w:bCs/>
          <w:color w:val="000000" w:themeColor="text1"/>
          <w:sz w:val="20"/>
          <w:szCs w:val="20"/>
        </w:rPr>
        <w:t xml:space="preserve">Smlouva o výkonu funkce </w:t>
      </w:r>
      <w:r w:rsidR="00201841">
        <w:rPr>
          <w:b/>
          <w:bCs/>
          <w:color w:val="000000" w:themeColor="text1"/>
          <w:sz w:val="20"/>
          <w:szCs w:val="20"/>
        </w:rPr>
        <w:t xml:space="preserve">a plnění poskytnutá </w:t>
      </w:r>
      <w:r w:rsidR="005471D8">
        <w:rPr>
          <w:b/>
          <w:bCs/>
          <w:color w:val="000000" w:themeColor="text1"/>
          <w:sz w:val="20"/>
          <w:szCs w:val="20"/>
        </w:rPr>
        <w:t>orgánům dlužníka</w:t>
      </w:r>
    </w:p>
    <w:p w14:paraId="72FD626A" w14:textId="4421CA08" w:rsidR="00DE069F" w:rsidRDefault="005471D8" w:rsidP="005471D8">
      <w:pPr>
        <w:pStyle w:val="ListParagraph"/>
        <w:numPr>
          <w:ilvl w:val="0"/>
          <w:numId w:val="0"/>
        </w:numPr>
        <w:ind w:left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</w:t>
      </w:r>
      <w:r w:rsidR="009F7D7A" w:rsidRPr="009F7D7A">
        <w:rPr>
          <w:color w:val="000000" w:themeColor="text1"/>
          <w:sz w:val="20"/>
          <w:szCs w:val="20"/>
        </w:rPr>
        <w:t xml:space="preserve"> sdělte</w:t>
      </w:r>
      <w:r w:rsidR="00735DF1">
        <w:rPr>
          <w:color w:val="000000" w:themeColor="text1"/>
          <w:sz w:val="20"/>
          <w:szCs w:val="20"/>
        </w:rPr>
        <w:t>, zda dlužník s nějakou osobou uzavřel s</w:t>
      </w:r>
      <w:r w:rsidR="00DE069F">
        <w:rPr>
          <w:color w:val="000000" w:themeColor="text1"/>
          <w:sz w:val="20"/>
          <w:szCs w:val="20"/>
        </w:rPr>
        <w:t>mlouvu o výkonu funkce</w:t>
      </w:r>
      <w:r w:rsidR="00201841">
        <w:rPr>
          <w:color w:val="000000" w:themeColor="text1"/>
          <w:sz w:val="20"/>
          <w:szCs w:val="20"/>
        </w:rPr>
        <w:t>,</w:t>
      </w:r>
      <w:r w:rsidR="008A0D76">
        <w:rPr>
          <w:color w:val="000000" w:themeColor="text1"/>
          <w:sz w:val="20"/>
          <w:szCs w:val="20"/>
        </w:rPr>
        <w:t xml:space="preserve"> a pokud ano, </w:t>
      </w:r>
      <w:r w:rsidR="00201841">
        <w:rPr>
          <w:color w:val="000000" w:themeColor="text1"/>
          <w:sz w:val="20"/>
          <w:szCs w:val="20"/>
        </w:rPr>
        <w:t>prosíme o její zaslání</w:t>
      </w:r>
    </w:p>
    <w:p w14:paraId="2141456C" w14:textId="72F9D193" w:rsidR="00084106" w:rsidRPr="008112DD" w:rsidRDefault="005471D8" w:rsidP="008112DD">
      <w:pPr>
        <w:pStyle w:val="ListParagraph"/>
        <w:numPr>
          <w:ilvl w:val="0"/>
          <w:numId w:val="0"/>
        </w:numPr>
        <w:ind w:left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sdělte, jaká peněžitá a nepeněžitá plnění poskytl dlužník</w:t>
      </w:r>
      <w:r w:rsidR="0013558F">
        <w:rPr>
          <w:color w:val="000000" w:themeColor="text1"/>
          <w:sz w:val="20"/>
          <w:szCs w:val="20"/>
        </w:rPr>
        <w:t xml:space="preserve"> členům statutárního a kontrolního orgánu</w:t>
      </w:r>
      <w:r w:rsidR="00503022">
        <w:rPr>
          <w:color w:val="000000" w:themeColor="text1"/>
          <w:sz w:val="20"/>
          <w:szCs w:val="20"/>
        </w:rPr>
        <w:t xml:space="preserve"> </w:t>
      </w:r>
      <w:r w:rsidR="0082631F">
        <w:rPr>
          <w:color w:val="000000" w:themeColor="text1"/>
          <w:sz w:val="20"/>
          <w:szCs w:val="20"/>
        </w:rPr>
        <w:t>v posledních pěti letech před zahájením insolvence vůči dlužníkovi</w:t>
      </w:r>
      <w:r w:rsidR="008112DD">
        <w:rPr>
          <w:color w:val="000000" w:themeColor="text1"/>
          <w:sz w:val="20"/>
          <w:szCs w:val="20"/>
        </w:rPr>
        <w:t xml:space="preserve"> </w:t>
      </w:r>
      <w:r w:rsidR="008112DD" w:rsidRPr="008112DD">
        <w:rPr>
          <w:color w:val="000000"/>
          <w:sz w:val="20"/>
          <w:szCs w:val="20"/>
        </w:rPr>
        <w:t>(</w:t>
      </w:r>
      <w:r w:rsidR="008112DD">
        <w:rPr>
          <w:color w:val="000000"/>
          <w:sz w:val="20"/>
          <w:szCs w:val="20"/>
        </w:rPr>
        <w:t>tj. plnění poskytnutá např. jednatelům, představenstvu, kontrolní radě</w:t>
      </w:r>
      <w:r w:rsidR="008112DD" w:rsidRPr="008112DD">
        <w:rPr>
          <w:color w:val="000000"/>
          <w:sz w:val="20"/>
          <w:szCs w:val="20"/>
        </w:rPr>
        <w:t>)</w:t>
      </w:r>
    </w:p>
    <w:p w14:paraId="75948473" w14:textId="77777777" w:rsidR="00EE7260" w:rsidRDefault="00EE7260">
      <w:pPr>
        <w:rPr>
          <w:rFonts w:ascii="Calibri" w:hAnsi="Calibri"/>
          <w:color w:val="000000"/>
        </w:rPr>
      </w:pPr>
    </w:p>
    <w:sectPr w:rsidR="00EE7260">
      <w:footerReference w:type="even" r:id="rId10"/>
      <w:headerReference w:type="first" r:id="rId11"/>
      <w:footerReference w:type="first" r:id="rId12"/>
      <w:pgSz w:w="11900" w:h="16840"/>
      <w:pgMar w:top="960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ADA6" w14:textId="77777777" w:rsidR="00E91742" w:rsidRDefault="00E91742">
      <w:r>
        <w:separator/>
      </w:r>
    </w:p>
  </w:endnote>
  <w:endnote w:type="continuationSeparator" w:id="0">
    <w:p w14:paraId="38DA0153" w14:textId="77777777" w:rsidR="00E91742" w:rsidRDefault="00E9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8476" w14:textId="77777777" w:rsidR="00EE7260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948477" w14:textId="77777777" w:rsidR="00EE7260" w:rsidRDefault="00EE72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8480" w14:textId="77777777" w:rsidR="00EE7260" w:rsidRDefault="00EE7260"/>
  <w:tbl>
    <w:tblPr>
      <w:tblStyle w:val="TableGrid"/>
      <w:tblW w:w="1132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6"/>
      <w:gridCol w:w="4624"/>
    </w:tblGrid>
    <w:tr w:rsidR="00EE7260" w14:paraId="75948487" w14:textId="77777777">
      <w:tc>
        <w:tcPr>
          <w:tcW w:w="6696" w:type="dxa"/>
        </w:tcPr>
        <w:p w14:paraId="75948481" w14:textId="77777777" w:rsidR="00EE7260" w:rsidRDefault="00000000">
          <w:pPr>
            <w:pStyle w:val="Footer"/>
            <w:ind w:right="360"/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 xml:space="preserve">CURATORES v.o.s.        </w:t>
          </w:r>
        </w:p>
        <w:p w14:paraId="75948482" w14:textId="77777777" w:rsidR="00EE7260" w:rsidRDefault="00000000">
          <w:pPr>
            <w:pStyle w:val="Footer"/>
            <w:tabs>
              <w:tab w:val="center" w:pos="955"/>
              <w:tab w:val="right" w:pos="1910"/>
            </w:tabs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Sídlo: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Uruguayská 380/17, Praha 2, 120 00</w:t>
          </w:r>
        </w:p>
        <w:p w14:paraId="75948483" w14:textId="77777777" w:rsidR="00EE7260" w:rsidRDefault="00000000">
          <w:pPr>
            <w:pStyle w:val="Footer"/>
            <w:ind w:right="360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Web: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www.curatores.cz</w:t>
          </w:r>
        </w:p>
      </w:tc>
      <w:tc>
        <w:tcPr>
          <w:tcW w:w="4624" w:type="dxa"/>
          <w:vAlign w:val="bottom"/>
        </w:tcPr>
        <w:p w14:paraId="75948484" w14:textId="77777777" w:rsidR="00EE7260" w:rsidRDefault="00000000">
          <w:pPr>
            <w:pStyle w:val="Footer"/>
            <w:ind w:left="1823" w:hanging="1822"/>
            <w:rPr>
              <w:rFonts w:ascii="Calibri Light" w:hAnsi="Calibri Light" w:cs="Calibri Light"/>
              <w:b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IČ: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05758556</w:t>
          </w:r>
        </w:p>
        <w:p w14:paraId="75948485" w14:textId="77777777" w:rsidR="00EE7260" w:rsidRDefault="00000000">
          <w:pPr>
            <w:pStyle w:val="Footer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b/>
              <w:sz w:val="18"/>
              <w:szCs w:val="18"/>
            </w:rPr>
            <w:t>DIČ: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CZ05758556</w:t>
          </w:r>
          <w:r>
            <w:rPr>
              <w:rFonts w:ascii="Calibri Light" w:hAnsi="Calibri Light" w:cs="Calibri Light"/>
              <w:b/>
              <w:sz w:val="18"/>
              <w:szCs w:val="18"/>
            </w:rPr>
            <w:t xml:space="preserve">                                                               </w:t>
          </w:r>
        </w:p>
        <w:p w14:paraId="75948486" w14:textId="77777777" w:rsidR="00EE7260" w:rsidRDefault="00EE7260">
          <w:pPr>
            <w:pStyle w:val="Footer"/>
            <w:rPr>
              <w:rFonts w:ascii="Calibri Light" w:hAnsi="Calibri Light" w:cs="Calibri Light"/>
              <w:sz w:val="18"/>
              <w:szCs w:val="18"/>
            </w:rPr>
          </w:pPr>
        </w:p>
      </w:tc>
    </w:tr>
  </w:tbl>
  <w:p w14:paraId="75948488" w14:textId="77777777" w:rsidR="00EE7260" w:rsidRDefault="00EE726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0081" w14:textId="77777777" w:rsidR="00E91742" w:rsidRDefault="00E91742">
      <w:r>
        <w:separator/>
      </w:r>
    </w:p>
  </w:footnote>
  <w:footnote w:type="continuationSeparator" w:id="0">
    <w:p w14:paraId="0B71516B" w14:textId="77777777" w:rsidR="00E91742" w:rsidRDefault="00E9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2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EE7260" w14:paraId="7594847C" w14:textId="77777777">
      <w:trPr>
        <w:trHeight w:val="1191"/>
      </w:trPr>
      <w:tc>
        <w:tcPr>
          <w:tcW w:w="5000" w:type="pct"/>
          <w:vAlign w:val="bottom"/>
        </w:tcPr>
        <w:p w14:paraId="75948478" w14:textId="77777777" w:rsidR="00EE7260" w:rsidRDefault="00000000">
          <w:pPr>
            <w:pStyle w:val="Header"/>
            <w:ind w:right="30"/>
            <w:rPr>
              <w:rFonts w:ascii="Calibri" w:hAnsi="Calibri" w:cs="Arial"/>
              <w:b/>
              <w:color w:val="7F7F7F"/>
              <w:sz w:val="22"/>
              <w:szCs w:val="34"/>
            </w:rPr>
          </w:pPr>
          <w:r>
            <w:rPr>
              <w:rFonts w:ascii="Calibri" w:hAnsi="Calibri" w:cs="Arial"/>
              <w:b/>
              <w:noProof/>
              <w:color w:val="7F7F7F" w:themeColor="text1" w:themeTint="80"/>
              <w:sz w:val="22"/>
              <w:szCs w:val="34"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75948489" wp14:editId="7594848A">
                <wp:simplePos x="0" y="0"/>
                <wp:positionH relativeFrom="column">
                  <wp:posOffset>3174</wp:posOffset>
                </wp:positionH>
                <wp:positionV relativeFrom="paragraph">
                  <wp:posOffset>80644</wp:posOffset>
                </wp:positionV>
                <wp:extent cx="717549" cy="767714"/>
                <wp:effectExtent l="0" t="0" r="6349" b="0"/>
                <wp:wrapNone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1755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948479" w14:textId="77777777" w:rsidR="00EE7260" w:rsidRDefault="00000000">
          <w:pPr>
            <w:pStyle w:val="Header"/>
            <w:ind w:right="84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 xml:space="preserve">                        CURATORES v.o.s.</w:t>
          </w:r>
        </w:p>
        <w:p w14:paraId="7594847A" w14:textId="77777777" w:rsidR="00EE7260" w:rsidRDefault="00000000">
          <w:pPr>
            <w:pStyle w:val="Header"/>
            <w:ind w:right="84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 xml:space="preserve">                        Uruguayská 380/17</w:t>
          </w:r>
        </w:p>
        <w:p w14:paraId="7594847B" w14:textId="77777777" w:rsidR="00EE7260" w:rsidRDefault="00000000">
          <w:pPr>
            <w:pStyle w:val="Header"/>
            <w:ind w:right="84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 xml:space="preserve">                        Praha 2, 120 00</w:t>
          </w:r>
        </w:p>
      </w:tc>
    </w:tr>
    <w:tr w:rsidR="00EE7260" w14:paraId="7594847E" w14:textId="77777777">
      <w:trPr>
        <w:trHeight w:val="1191"/>
      </w:trPr>
      <w:tc>
        <w:tcPr>
          <w:tcW w:w="5000" w:type="pct"/>
          <w:vAlign w:val="bottom"/>
        </w:tcPr>
        <w:p w14:paraId="7594847D" w14:textId="77777777" w:rsidR="00EE7260" w:rsidRDefault="00EE7260">
          <w:pPr>
            <w:pStyle w:val="Header"/>
            <w:ind w:right="30"/>
            <w:rPr>
              <w:rFonts w:ascii="Calibri" w:hAnsi="Calibri" w:cs="Arial"/>
              <w:b/>
              <w:color w:val="7F7F7F"/>
              <w:sz w:val="22"/>
              <w:szCs w:val="34"/>
              <w:lang w:eastAsia="cs-CZ"/>
            </w:rPr>
          </w:pPr>
        </w:p>
      </w:tc>
    </w:tr>
  </w:tbl>
  <w:p w14:paraId="7594847F" w14:textId="77777777" w:rsidR="00EE7260" w:rsidRDefault="00EE7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EE3"/>
    <w:multiLevelType w:val="hybridMultilevel"/>
    <w:tmpl w:val="C7686774"/>
    <w:styleLink w:val="Styl1"/>
    <w:lvl w:ilvl="0" w:tplc="6202764C">
      <w:start w:val="1"/>
      <w:numFmt w:val="bullet"/>
      <w:pStyle w:val="Styl1"/>
      <w:lvlText w:val="►"/>
      <w:lvlJc w:val="left"/>
      <w:pPr>
        <w:ind w:left="1440" w:hanging="359"/>
      </w:pPr>
      <w:rPr>
        <w:rFonts w:ascii="Courier New" w:hAnsi="Courier New"/>
        <w:color w:val="8E9AC9" w:themeColor="accent2"/>
      </w:rPr>
    </w:lvl>
    <w:lvl w:ilvl="1" w:tplc="D9AC1960">
      <w:start w:val="1"/>
      <w:numFmt w:val="bullet"/>
      <w:lvlText w:val="►"/>
      <w:lvlJc w:val="left"/>
      <w:pPr>
        <w:ind w:left="1800" w:hanging="359"/>
      </w:pPr>
      <w:rPr>
        <w:rFonts w:ascii="Courier New" w:hAnsi="Courier New" w:hint="default"/>
        <w:color w:val="00A8CE" w:themeColor="accent3"/>
      </w:rPr>
    </w:lvl>
    <w:lvl w:ilvl="2" w:tplc="D3C48678">
      <w:start w:val="1"/>
      <w:numFmt w:val="bullet"/>
      <w:lvlText w:val=""/>
      <w:lvlJc w:val="left"/>
      <w:pPr>
        <w:ind w:left="2520" w:hanging="359"/>
      </w:pPr>
      <w:rPr>
        <w:rFonts w:ascii="Wingdings" w:hAnsi="Wingdings" w:hint="default"/>
        <w:color w:val="8E9AC9" w:themeColor="accent2"/>
      </w:rPr>
    </w:lvl>
    <w:lvl w:ilvl="3" w:tplc="1D769264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A208BEAC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63623EEE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B8BC9678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FE2A1D1C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40D0FBB8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1" w15:restartNumberingAfterBreak="0">
    <w:nsid w:val="2B674828"/>
    <w:multiLevelType w:val="hybridMultilevel"/>
    <w:tmpl w:val="A4168672"/>
    <w:lvl w:ilvl="0" w:tplc="4B542248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D1AE2"/>
    <w:multiLevelType w:val="hybridMultilevel"/>
    <w:tmpl w:val="312A904C"/>
    <w:styleLink w:val="SeznamOAKS"/>
    <w:lvl w:ilvl="0" w:tplc="4DBEFB84">
      <w:start w:val="1"/>
      <w:numFmt w:val="bullet"/>
      <w:pStyle w:val="SeznamOAKS"/>
      <w:lvlText w:val="►"/>
      <w:lvlJc w:val="left"/>
      <w:pPr>
        <w:ind w:left="1440" w:hanging="359"/>
      </w:pPr>
      <w:rPr>
        <w:rFonts w:ascii="Courier New" w:hAnsi="Courier New"/>
        <w:color w:val="8E9AC9" w:themeColor="accent2"/>
      </w:rPr>
    </w:lvl>
    <w:lvl w:ilvl="1" w:tplc="9412F168">
      <w:start w:val="1"/>
      <w:numFmt w:val="bullet"/>
      <w:lvlText w:val="►"/>
      <w:lvlJc w:val="left"/>
      <w:pPr>
        <w:ind w:left="2160" w:hanging="359"/>
      </w:pPr>
      <w:rPr>
        <w:rFonts w:ascii="Courier New" w:hAnsi="Courier New" w:hint="default"/>
        <w:color w:val="00A8CE" w:themeColor="accent3"/>
      </w:rPr>
    </w:lvl>
    <w:lvl w:ilvl="2" w:tplc="ACA6E078">
      <w:start w:val="1"/>
      <w:numFmt w:val="bullet"/>
      <w:lvlText w:val=""/>
      <w:lvlJc w:val="left"/>
      <w:pPr>
        <w:ind w:left="2880" w:hanging="359"/>
      </w:pPr>
      <w:rPr>
        <w:rFonts w:ascii="Wingdings" w:hAnsi="Wingdings" w:hint="default"/>
      </w:rPr>
    </w:lvl>
    <w:lvl w:ilvl="3" w:tplc="206E65C2">
      <w:start w:val="1"/>
      <w:numFmt w:val="bullet"/>
      <w:lvlText w:val=""/>
      <w:lvlJc w:val="left"/>
      <w:pPr>
        <w:ind w:left="3600" w:hanging="359"/>
      </w:pPr>
      <w:rPr>
        <w:rFonts w:ascii="Symbol" w:hAnsi="Symbol" w:hint="default"/>
      </w:rPr>
    </w:lvl>
    <w:lvl w:ilvl="4" w:tplc="3BA0BD5C">
      <w:start w:val="1"/>
      <w:numFmt w:val="bullet"/>
      <w:lvlText w:val="o"/>
      <w:lvlJc w:val="left"/>
      <w:pPr>
        <w:ind w:left="4320" w:hanging="359"/>
      </w:pPr>
      <w:rPr>
        <w:rFonts w:ascii="Courier New" w:hAnsi="Courier New" w:cs="Courier New" w:hint="default"/>
      </w:rPr>
    </w:lvl>
    <w:lvl w:ilvl="5" w:tplc="1B42F21E">
      <w:start w:val="1"/>
      <w:numFmt w:val="bullet"/>
      <w:lvlText w:val=""/>
      <w:lvlJc w:val="left"/>
      <w:pPr>
        <w:ind w:left="5040" w:hanging="359"/>
      </w:pPr>
      <w:rPr>
        <w:rFonts w:ascii="Wingdings" w:hAnsi="Wingdings" w:hint="default"/>
      </w:rPr>
    </w:lvl>
    <w:lvl w:ilvl="6" w:tplc="040EDF06">
      <w:start w:val="1"/>
      <w:numFmt w:val="bullet"/>
      <w:lvlText w:val=""/>
      <w:lvlJc w:val="left"/>
      <w:pPr>
        <w:ind w:left="5760" w:hanging="359"/>
      </w:pPr>
      <w:rPr>
        <w:rFonts w:ascii="Symbol" w:hAnsi="Symbol" w:hint="default"/>
      </w:rPr>
    </w:lvl>
    <w:lvl w:ilvl="7" w:tplc="AE2EAB18">
      <w:start w:val="1"/>
      <w:numFmt w:val="bullet"/>
      <w:lvlText w:val="o"/>
      <w:lvlJc w:val="left"/>
      <w:pPr>
        <w:ind w:left="6480" w:hanging="359"/>
      </w:pPr>
      <w:rPr>
        <w:rFonts w:ascii="Courier New" w:hAnsi="Courier New" w:cs="Courier New" w:hint="default"/>
      </w:rPr>
    </w:lvl>
    <w:lvl w:ilvl="8" w:tplc="69D80410">
      <w:start w:val="1"/>
      <w:numFmt w:val="bullet"/>
      <w:lvlText w:val=""/>
      <w:lvlJc w:val="left"/>
      <w:pPr>
        <w:ind w:left="7200" w:hanging="359"/>
      </w:pPr>
      <w:rPr>
        <w:rFonts w:ascii="Wingdings" w:hAnsi="Wingdings" w:hint="default"/>
      </w:rPr>
    </w:lvl>
  </w:abstractNum>
  <w:abstractNum w:abstractNumId="3" w15:restartNumberingAfterBreak="0">
    <w:nsid w:val="5DA3133F"/>
    <w:multiLevelType w:val="hybridMultilevel"/>
    <w:tmpl w:val="2E526B4C"/>
    <w:lvl w:ilvl="0" w:tplc="E2B60EFE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59"/>
      </w:pPr>
      <w:rPr>
        <w:rFonts w:ascii="Symbol" w:hAnsi="Symbol" w:hint="default"/>
      </w:rPr>
    </w:lvl>
    <w:lvl w:ilvl="1" w:tplc="802A32F4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010EE5E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F9721C7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7C6260D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935CDBA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851A995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1C2C347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4634A18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09B733A"/>
    <w:multiLevelType w:val="hybridMultilevel"/>
    <w:tmpl w:val="AE16FAB0"/>
    <w:lvl w:ilvl="0" w:tplc="C8947022">
      <w:start w:val="1"/>
      <w:numFmt w:val="decimal"/>
      <w:lvlText w:val="%1."/>
      <w:lvlJc w:val="left"/>
      <w:pPr>
        <w:ind w:left="720" w:hanging="359"/>
      </w:pPr>
    </w:lvl>
    <w:lvl w:ilvl="1" w:tplc="53766DE8">
      <w:start w:val="1"/>
      <w:numFmt w:val="lowerLetter"/>
      <w:lvlText w:val="%2."/>
      <w:lvlJc w:val="left"/>
      <w:pPr>
        <w:ind w:left="1440" w:hanging="359"/>
      </w:pPr>
    </w:lvl>
    <w:lvl w:ilvl="2" w:tplc="B82C15EE">
      <w:start w:val="1"/>
      <w:numFmt w:val="lowerRoman"/>
      <w:lvlText w:val="%3."/>
      <w:lvlJc w:val="right"/>
      <w:pPr>
        <w:ind w:left="2160" w:hanging="179"/>
      </w:pPr>
    </w:lvl>
    <w:lvl w:ilvl="3" w:tplc="BBDA3FBC">
      <w:start w:val="1"/>
      <w:numFmt w:val="decimal"/>
      <w:lvlText w:val="%4."/>
      <w:lvlJc w:val="left"/>
      <w:pPr>
        <w:ind w:left="2880" w:hanging="359"/>
      </w:pPr>
    </w:lvl>
    <w:lvl w:ilvl="4" w:tplc="71E2823C">
      <w:start w:val="1"/>
      <w:numFmt w:val="lowerLetter"/>
      <w:lvlText w:val="%5."/>
      <w:lvlJc w:val="left"/>
      <w:pPr>
        <w:ind w:left="3600" w:hanging="359"/>
      </w:pPr>
    </w:lvl>
    <w:lvl w:ilvl="5" w:tplc="E006D716">
      <w:start w:val="1"/>
      <w:numFmt w:val="lowerRoman"/>
      <w:lvlText w:val="%6."/>
      <w:lvlJc w:val="right"/>
      <w:pPr>
        <w:ind w:left="4320" w:hanging="179"/>
      </w:pPr>
    </w:lvl>
    <w:lvl w:ilvl="6" w:tplc="DEB8ED00">
      <w:start w:val="1"/>
      <w:numFmt w:val="decimal"/>
      <w:lvlText w:val="%7."/>
      <w:lvlJc w:val="left"/>
      <w:pPr>
        <w:ind w:left="5040" w:hanging="359"/>
      </w:pPr>
    </w:lvl>
    <w:lvl w:ilvl="7" w:tplc="CEF66090">
      <w:start w:val="1"/>
      <w:numFmt w:val="lowerLetter"/>
      <w:lvlText w:val="%8."/>
      <w:lvlJc w:val="left"/>
      <w:pPr>
        <w:ind w:left="5760" w:hanging="359"/>
      </w:pPr>
    </w:lvl>
    <w:lvl w:ilvl="8" w:tplc="D4321FDA">
      <w:start w:val="1"/>
      <w:numFmt w:val="lowerRoman"/>
      <w:lvlText w:val="%9."/>
      <w:lvlJc w:val="right"/>
      <w:pPr>
        <w:ind w:left="6480" w:hanging="179"/>
      </w:pPr>
    </w:lvl>
  </w:abstractNum>
  <w:abstractNum w:abstractNumId="5" w15:restartNumberingAfterBreak="0">
    <w:nsid w:val="6BAE510A"/>
    <w:multiLevelType w:val="hybridMultilevel"/>
    <w:tmpl w:val="7DC208A8"/>
    <w:lvl w:ilvl="0" w:tplc="78688C34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59"/>
      </w:pPr>
      <w:rPr>
        <w:rFonts w:ascii="Symbol" w:hAnsi="Symbol" w:hint="default"/>
      </w:rPr>
    </w:lvl>
    <w:lvl w:ilvl="1" w:tplc="082E21D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AD6441C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4818523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91CE125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0947F8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474CC9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DF041AF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8F4B04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F1F5369"/>
    <w:multiLevelType w:val="hybridMultilevel"/>
    <w:tmpl w:val="70CA82C0"/>
    <w:lvl w:ilvl="0" w:tplc="5FB4D360">
      <w:start w:val="1"/>
      <w:numFmt w:val="bullet"/>
      <w:pStyle w:val="ListParagraph"/>
      <w:lvlText w:val="►"/>
      <w:lvlJc w:val="left"/>
      <w:pPr>
        <w:ind w:left="510" w:hanging="509"/>
      </w:pPr>
      <w:rPr>
        <w:rFonts w:ascii="Courier New" w:hAnsi="Courier New" w:hint="default"/>
        <w:color w:val="8E9AC9" w:themeColor="accent2"/>
      </w:rPr>
    </w:lvl>
    <w:lvl w:ilvl="1" w:tplc="8A1845AE">
      <w:start w:val="1"/>
      <w:numFmt w:val="bullet"/>
      <w:lvlText w:val="►"/>
      <w:lvlJc w:val="left"/>
      <w:pPr>
        <w:ind w:left="850" w:hanging="509"/>
      </w:pPr>
      <w:rPr>
        <w:rFonts w:ascii="Courier New" w:hAnsi="Courier New" w:hint="default"/>
        <w:color w:val="00A8CE" w:themeColor="accent3"/>
      </w:rPr>
    </w:lvl>
    <w:lvl w:ilvl="2" w:tplc="B55061D6">
      <w:start w:val="1"/>
      <w:numFmt w:val="bullet"/>
      <w:lvlText w:val=""/>
      <w:lvlJc w:val="left"/>
      <w:pPr>
        <w:ind w:left="1190" w:hanging="509"/>
      </w:pPr>
      <w:rPr>
        <w:rFonts w:ascii="Wingdings" w:hAnsi="Wingdings" w:hint="default"/>
      </w:rPr>
    </w:lvl>
    <w:lvl w:ilvl="3" w:tplc="AB5EE5E8">
      <w:start w:val="1"/>
      <w:numFmt w:val="bullet"/>
      <w:lvlText w:val=""/>
      <w:lvlJc w:val="left"/>
      <w:pPr>
        <w:ind w:left="1530" w:hanging="509"/>
      </w:pPr>
      <w:rPr>
        <w:rFonts w:ascii="Symbol" w:hAnsi="Symbol" w:hint="default"/>
      </w:rPr>
    </w:lvl>
    <w:lvl w:ilvl="4" w:tplc="9C34FF54">
      <w:start w:val="1"/>
      <w:numFmt w:val="bullet"/>
      <w:lvlText w:val="o"/>
      <w:lvlJc w:val="left"/>
      <w:pPr>
        <w:ind w:left="1870" w:hanging="509"/>
      </w:pPr>
      <w:rPr>
        <w:rFonts w:ascii="Courier New" w:hAnsi="Courier New" w:cs="Courier New" w:hint="default"/>
      </w:rPr>
    </w:lvl>
    <w:lvl w:ilvl="5" w:tplc="0256108A">
      <w:start w:val="1"/>
      <w:numFmt w:val="bullet"/>
      <w:lvlText w:val=""/>
      <w:lvlJc w:val="left"/>
      <w:pPr>
        <w:ind w:left="2210" w:hanging="509"/>
      </w:pPr>
      <w:rPr>
        <w:rFonts w:ascii="Wingdings" w:hAnsi="Wingdings" w:hint="default"/>
      </w:rPr>
    </w:lvl>
    <w:lvl w:ilvl="6" w:tplc="D46269B0">
      <w:start w:val="1"/>
      <w:numFmt w:val="bullet"/>
      <w:lvlText w:val=""/>
      <w:lvlJc w:val="left"/>
      <w:pPr>
        <w:ind w:left="2550" w:hanging="509"/>
      </w:pPr>
      <w:rPr>
        <w:rFonts w:ascii="Symbol" w:hAnsi="Symbol" w:hint="default"/>
      </w:rPr>
    </w:lvl>
    <w:lvl w:ilvl="7" w:tplc="DC401358">
      <w:start w:val="1"/>
      <w:numFmt w:val="bullet"/>
      <w:lvlText w:val="o"/>
      <w:lvlJc w:val="left"/>
      <w:pPr>
        <w:ind w:left="2890" w:hanging="509"/>
      </w:pPr>
      <w:rPr>
        <w:rFonts w:ascii="Courier New" w:hAnsi="Courier New" w:cs="Courier New" w:hint="default"/>
      </w:rPr>
    </w:lvl>
    <w:lvl w:ilvl="8" w:tplc="872ADE26">
      <w:start w:val="1"/>
      <w:numFmt w:val="bullet"/>
      <w:lvlText w:val=""/>
      <w:lvlJc w:val="left"/>
      <w:pPr>
        <w:ind w:left="3230" w:hanging="509"/>
      </w:pPr>
      <w:rPr>
        <w:rFonts w:ascii="Wingdings" w:hAnsi="Wingdings" w:hint="default"/>
      </w:rPr>
    </w:lvl>
  </w:abstractNum>
  <w:abstractNum w:abstractNumId="7" w15:restartNumberingAfterBreak="0">
    <w:nsid w:val="712E3A7B"/>
    <w:multiLevelType w:val="multilevel"/>
    <w:tmpl w:val="6A9A0888"/>
    <w:lvl w:ilvl="0">
      <w:start w:val="1"/>
      <w:numFmt w:val="decimal"/>
      <w:lvlText w:val="%1."/>
      <w:lvlJc w:val="left"/>
      <w:pPr>
        <w:ind w:left="360" w:hanging="359"/>
      </w:pPr>
      <w:rPr>
        <w:b/>
      </w:rPr>
    </w:lvl>
    <w:lvl w:ilvl="1">
      <w:start w:val="1"/>
      <w:numFmt w:val="decimal"/>
      <w:lvlText w:val="%1.%2."/>
      <w:lvlJc w:val="left"/>
      <w:pPr>
        <w:ind w:left="907" w:hanging="546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8" w15:restartNumberingAfterBreak="0">
    <w:nsid w:val="770A16C4"/>
    <w:multiLevelType w:val="hybridMultilevel"/>
    <w:tmpl w:val="A77E0366"/>
    <w:lvl w:ilvl="0" w:tplc="C9AC743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31199"/>
    <w:multiLevelType w:val="hybridMultilevel"/>
    <w:tmpl w:val="BC8867AE"/>
    <w:lvl w:ilvl="0" w:tplc="F476F4D2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DBA281B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EB4EB0C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0168AD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E3FA6FF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C5F83B7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10C2265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774C0FE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DD4EE9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num w:numId="1" w16cid:durableId="1142696991">
    <w:abstractNumId w:val="3"/>
  </w:num>
  <w:num w:numId="2" w16cid:durableId="2105413610">
    <w:abstractNumId w:val="5"/>
  </w:num>
  <w:num w:numId="3" w16cid:durableId="1381784503">
    <w:abstractNumId w:val="9"/>
  </w:num>
  <w:num w:numId="4" w16cid:durableId="418335264">
    <w:abstractNumId w:val="0"/>
  </w:num>
  <w:num w:numId="5" w16cid:durableId="1228567421">
    <w:abstractNumId w:val="6"/>
  </w:num>
  <w:num w:numId="6" w16cid:durableId="673537364">
    <w:abstractNumId w:val="7"/>
  </w:num>
  <w:num w:numId="7" w16cid:durableId="46145859">
    <w:abstractNumId w:val="2"/>
  </w:num>
  <w:num w:numId="8" w16cid:durableId="476995101">
    <w:abstractNumId w:val="4"/>
  </w:num>
  <w:num w:numId="9" w16cid:durableId="1448425850">
    <w:abstractNumId w:val="6"/>
  </w:num>
  <w:num w:numId="10" w16cid:durableId="1340349352">
    <w:abstractNumId w:val="1"/>
  </w:num>
  <w:num w:numId="11" w16cid:durableId="1383482504">
    <w:abstractNumId w:val="8"/>
  </w:num>
  <w:num w:numId="12" w16cid:durableId="2146702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0"/>
    <w:rsid w:val="00084106"/>
    <w:rsid w:val="0013558F"/>
    <w:rsid w:val="00201841"/>
    <w:rsid w:val="00503022"/>
    <w:rsid w:val="00503AA6"/>
    <w:rsid w:val="005471D8"/>
    <w:rsid w:val="00735DF1"/>
    <w:rsid w:val="008112DD"/>
    <w:rsid w:val="0082631F"/>
    <w:rsid w:val="008A0D76"/>
    <w:rsid w:val="009F7D7A"/>
    <w:rsid w:val="00DE069F"/>
    <w:rsid w:val="00E91742"/>
    <w:rsid w:val="00E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4844F"/>
  <w15:docId w15:val="{C4F5FE6B-15A5-2D4D-88C9-C3F2CDF1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595959" w:themeColor="text1" w:themeTint="A6"/>
      <w:lang w:val="cs-CZ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CZ" w:eastAsia="en-GB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DefaultParagraphFont"/>
    <w:uiPriority w:val="99"/>
    <w:rPr>
      <w:lang w:val="cs-CZ"/>
    </w:rPr>
  </w:style>
  <w:style w:type="paragraph" w:styleId="Footer">
    <w:name w:val="footer"/>
    <w:basedOn w:val="Normal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DefaultParagraphFont"/>
    <w:uiPriority w:val="99"/>
    <w:rPr>
      <w:lang w:val="cs-CZ"/>
    </w:rPr>
  </w:style>
  <w:style w:type="paragraph" w:styleId="BalloonText">
    <w:name w:val="Balloon Text"/>
    <w:basedOn w:val="Normal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uiPriority w:val="99"/>
    <w:semiHidden/>
    <w:rPr>
      <w:rFonts w:ascii="Lucida Grande" w:hAnsi="Lucida Grande" w:cs="Lucida Grande"/>
      <w:sz w:val="18"/>
      <w:szCs w:val="18"/>
      <w:lang w:val="cs-CZ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tne">
    <w:name w:val="platne"/>
    <w:basedOn w:val="DefaultParagraphFont"/>
  </w:style>
  <w:style w:type="character" w:styleId="PageNumber">
    <w:name w:val="page number"/>
    <w:basedOn w:val="DefaultParagraphFon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numPr>
        <w:numId w:val="5"/>
      </w:numPr>
      <w:contextualSpacing/>
    </w:pPr>
  </w:style>
  <w:style w:type="character" w:styleId="Strong">
    <w:name w:val="Strong"/>
    <w:basedOn w:val="DefaultParagraphFont"/>
    <w:qFormat/>
    <w:rPr>
      <w:rFonts w:ascii="Cambria" w:hAnsi="Cambria"/>
      <w:b/>
      <w:bCs/>
      <w:sz w:val="24"/>
    </w:rPr>
  </w:style>
  <w:style w:type="paragraph" w:styleId="BodyText2">
    <w:name w:val="Body Text 2"/>
    <w:basedOn w:val="Normal"/>
    <w:pPr>
      <w:jc w:val="center"/>
    </w:pPr>
    <w:rPr>
      <w:rFonts w:ascii="Arial" w:eastAsia="Times New Roman" w:hAnsi="Arial" w:cs="Arial"/>
      <w:b/>
      <w:bCs/>
      <w:sz w:val="36"/>
      <w:u w:val="single"/>
      <w:lang w:eastAsia="cs-CZ"/>
    </w:rPr>
  </w:style>
  <w:style w:type="character" w:customStyle="1" w:styleId="Zkladntext2Char">
    <w:name w:val="Základní text 2 Char"/>
    <w:basedOn w:val="DefaultParagraphFont"/>
    <w:rPr>
      <w:rFonts w:ascii="Arial" w:eastAsia="Times New Roman" w:hAnsi="Arial" w:cs="Arial"/>
      <w:b/>
      <w:bCs/>
      <w:sz w:val="36"/>
      <w:u w:val="single"/>
      <w:lang w:val="cs-CZ" w:eastAsia="cs-CZ"/>
    </w:rPr>
  </w:style>
  <w:style w:type="paragraph" w:styleId="NoSpacing">
    <w:name w:val="No Spacing"/>
    <w:uiPriority w:val="1"/>
    <w:rPr>
      <w:color w:val="595959" w:themeColor="text1" w:themeTint="A6"/>
      <w:lang w:val="cs-CZ"/>
    </w:rPr>
  </w:style>
  <w:style w:type="numbering" w:customStyle="1" w:styleId="Styl1">
    <w:name w:val="Styl1"/>
    <w:uiPriority w:val="99"/>
    <w:pPr>
      <w:numPr>
        <w:numId w:val="4"/>
      </w:numPr>
    </w:pPr>
  </w:style>
  <w:style w:type="numbering" w:customStyle="1" w:styleId="SeznamOAKS">
    <w:name w:val="SeznamOAKS"/>
    <w:uiPriority w:val="99"/>
    <w:pPr>
      <w:numPr>
        <w:numId w:val="7"/>
      </w:numPr>
    </w:pPr>
  </w:style>
  <w:style w:type="paragraph" w:styleId="ListContinue">
    <w:name w:val="List Continue"/>
    <w:basedOn w:val="Normal"/>
    <w:uiPriority w:val="99"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849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Revision">
    <w:name w:val="Revision"/>
    <w:hidden/>
    <w:uiPriority w:val="99"/>
    <w:semiHidden/>
    <w:rsid w:val="000841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595959" w:themeColor="text1" w:themeTint="A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RATORES">
      <a:dk1>
        <a:sysClr val="windowText" lastClr="000000"/>
      </a:dk1>
      <a:lt1>
        <a:sysClr val="window" lastClr="FFFFFF"/>
      </a:lt1>
      <a:dk2>
        <a:srgbClr val="3C3C3C"/>
      </a:dk2>
      <a:lt2>
        <a:srgbClr val="E7E6E6"/>
      </a:lt2>
      <a:accent1>
        <a:srgbClr val="878787"/>
      </a:accent1>
      <a:accent2>
        <a:srgbClr val="8E9AC9"/>
      </a:accent2>
      <a:accent3>
        <a:srgbClr val="00A8CE"/>
      </a:accent3>
      <a:accent4>
        <a:srgbClr val="2BBDED"/>
      </a:accent4>
      <a:accent5>
        <a:srgbClr val="1D2554"/>
      </a:accent5>
      <a:accent6>
        <a:srgbClr val="4F4C4D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7615c-749a-4c73-90b9-affa29732e0f">
      <Terms xmlns="http://schemas.microsoft.com/office/infopath/2007/PartnerControls"/>
    </lcf76f155ced4ddcb4097134ff3c332f>
    <TaxCatchAll xmlns="a9f8b5a4-2ec8-4d25-8a65-78362fb99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F7AC98D658744BA197FC3060C0371" ma:contentTypeVersion="11" ma:contentTypeDescription="Vytvoří nový dokument" ma:contentTypeScope="" ma:versionID="a6fb20bbc20315636d2b770cfbb373eb">
  <xsd:schema xmlns:xsd="http://www.w3.org/2001/XMLSchema" xmlns:xs="http://www.w3.org/2001/XMLSchema" xmlns:p="http://schemas.microsoft.com/office/2006/metadata/properties" xmlns:ns2="ac67615c-749a-4c73-90b9-affa29732e0f" xmlns:ns3="a9f8b5a4-2ec8-4d25-8a65-78362fb994c0" targetNamespace="http://schemas.microsoft.com/office/2006/metadata/properties" ma:root="true" ma:fieldsID="5e60f92f79e34da29f9bc5865d2bf7c4" ns2:_="" ns3:_="">
    <xsd:import namespace="ac67615c-749a-4c73-90b9-affa29732e0f"/>
    <xsd:import namespace="a9f8b5a4-2ec8-4d25-8a65-78362fb99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7615c-749a-4c73-90b9-affa29732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ffc1f8a-e76e-4cd2-8522-e664fec9c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b5a4-2ec8-4d25-8a65-78362fb99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960c4e-5964-48e2-bb94-504af6b0211f}" ma:internalName="TaxCatchAll" ma:showField="CatchAllData" ma:web="a9f8b5a4-2ec8-4d25-8a65-78362fb99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369E1-091D-415B-945C-FA24E5A99236}">
  <ds:schemaRefs>
    <ds:schemaRef ds:uri="http://schemas.microsoft.com/office/2006/metadata/properties"/>
    <ds:schemaRef ds:uri="http://schemas.microsoft.com/office/infopath/2007/PartnerControls"/>
    <ds:schemaRef ds:uri="ac67615c-749a-4c73-90b9-affa29732e0f"/>
    <ds:schemaRef ds:uri="a9f8b5a4-2ec8-4d25-8a65-78362fb994c0"/>
  </ds:schemaRefs>
</ds:datastoreItem>
</file>

<file path=customXml/itemProps2.xml><?xml version="1.0" encoding="utf-8"?>
<ds:datastoreItem xmlns:ds="http://schemas.openxmlformats.org/officeDocument/2006/customXml" ds:itemID="{F46845BD-74D3-4465-9476-0CA54FC6A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6A10F-7463-4E43-9C5A-DD00E1154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7615c-749a-4c73-90b9-affa29732e0f"/>
    <ds:schemaRef ds:uri="a9f8b5a4-2ec8-4d25-8a65-78362fb99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K2 Legal - MK</cp:lastModifiedBy>
  <cp:revision>13</cp:revision>
  <dcterms:created xsi:type="dcterms:W3CDTF">2023-03-18T19:30:00Z</dcterms:created>
  <dcterms:modified xsi:type="dcterms:W3CDTF">2023-03-18T19:39:00Z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0x010100B89F7AC98D658744BA197FC3060C0371</vt:lpwstr>
  </property>
  <property fmtid="{D5CDD505-2E9C-101B-9397-08002B2CF9AE}" pid="3" name="Order">
    <vt:r8>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MigrationWizId">
    <vt:lpwstr>1qennebUu4oQLOQno178TMmIhLOtUEG1g</vt:lpwstr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